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w:t>
      </w:r>
      <w:r>
        <w:rPr>
          <w:rFonts w:hint="eastAsia" w:ascii="Arial" w:hAnsi="Arial" w:cs="Arial"/>
          <w:b/>
          <w:bCs/>
          <w:lang w:val="en-US" w:eastAsia="zh-CN"/>
        </w:rPr>
        <w:t>-e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hint="eastAsia" w:ascii="Arial" w:hAnsi="Arial" w:cs="Arial"/>
          <w:b/>
          <w:bCs/>
          <w:lang w:val="en-US" w:eastAsia="zh-CN"/>
        </w:rPr>
        <w:t xml:space="preserve">  </w:t>
      </w:r>
      <w:bookmarkStart w:id="8" w:name="_GoBack"/>
      <w:bookmarkEnd w:id="8"/>
      <w:r>
        <w:rPr>
          <w:rFonts w:ascii="Arial" w:hAnsi="Arial" w:cs="Arial"/>
          <w:b/>
          <w:bCs/>
          <w:lang w:val="en-US" w:eastAsia="en-US"/>
        </w:rPr>
        <w:t>R2-2000489</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1" w:name="OLE_LINK15"/>
      <w:bookmarkStart w:id="2" w:name="OLE_LINK16"/>
      <w:bookmarkStart w:id="3" w:name="OLE_LINK11"/>
      <w:bookmarkStart w:id="4" w:name="OLE_LINK9"/>
      <w:bookmarkStart w:id="5" w:name="OLE_LINK10"/>
      <w:r>
        <w:rPr>
          <w:rFonts w:ascii="Arial" w:hAnsi="Arial" w:cs="Arial"/>
          <w:b/>
          <w:bCs/>
          <w:szCs w:val="22"/>
          <w:lang w:val="en-US" w:eastAsia="zh-CN"/>
        </w:rPr>
        <w:t>Electronic Meeting, 28</w:t>
      </w:r>
      <w:r>
        <w:rPr>
          <w:rFonts w:ascii="Arial" w:hAnsi="Arial" w:cs="Arial"/>
          <w:b/>
          <w:bCs/>
          <w:szCs w:val="22"/>
          <w:vertAlign w:val="superscript"/>
          <w:lang w:val="en-US" w:eastAsia="zh-CN"/>
        </w:rPr>
        <w:t>th</w:t>
      </w:r>
      <w:r>
        <w:rPr>
          <w:rFonts w:ascii="Arial" w:hAnsi="Arial" w:cs="Arial"/>
          <w:b/>
          <w:bCs/>
          <w:szCs w:val="22"/>
          <w:lang w:val="en-US" w:eastAsia="zh-CN"/>
        </w:rPr>
        <w:t xml:space="preserve"> Feb – 6</w:t>
      </w:r>
      <w:r>
        <w:rPr>
          <w:rFonts w:ascii="Arial" w:hAnsi="Arial" w:cs="Arial"/>
          <w:b/>
          <w:bCs/>
          <w:szCs w:val="22"/>
          <w:vertAlign w:val="superscript"/>
          <w:lang w:val="en-US" w:eastAsia="zh-CN"/>
        </w:rPr>
        <w:t xml:space="preserve"> th</w:t>
      </w:r>
      <w:r>
        <w:rPr>
          <w:rFonts w:ascii="Arial" w:hAnsi="Arial" w:cs="Arial"/>
          <w:b/>
          <w:bCs/>
          <w:szCs w:val="22"/>
          <w:lang w:val="en-US" w:eastAsia="zh-CN"/>
        </w:rPr>
        <w:t xml:space="preserve"> Mar, 2020</w:t>
      </w:r>
      <w:bookmarkEnd w:id="1"/>
      <w:bookmarkEnd w:id="2"/>
      <w:bookmarkEnd w:id="3"/>
      <w:bookmarkEnd w:id="4"/>
      <w:bookmarkEnd w:id="5"/>
      <w:r>
        <w:rPr>
          <w:rFonts w:hint="eastAsia" w:ascii="Arial" w:hAnsi="Arial" w:cs="Arial"/>
          <w:b/>
          <w:bCs/>
          <w:szCs w:val="22"/>
          <w:lang w:val="en-US" w:eastAsia="zh-CN"/>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UE report of the TSC interest</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6.7.2.1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6" w:name="_Ref165266342"/>
      <w:r>
        <w:t>Introduction</w:t>
      </w:r>
      <w:bookmarkEnd w:id="6"/>
    </w:p>
    <w:p>
      <w:r>
        <w:t>In the RAN2#107bis meeting, RAN2 sent an LS [1] to SA2 “on whether and how the need for reference timing information can be determined for any given connected UE in Rel-16”. According to the Reply LS [2] from SA2, SA2 concluded that the CN will not provide any additional information to the RAN in Rel-16 to determine whether a CONNECTED UE needs to acquire the reference time information. In this contribution, we discuss how the gNB provides the reference time information to the UE via unicast, based on the reference time interests reported by the UE.</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UE report of the reference time interest</w:t>
      </w:r>
    </w:p>
    <w:p>
      <w:pPr>
        <w:spacing w:afterLines="50" w:line="240" w:lineRule="auto"/>
        <w:jc w:val="left"/>
      </w:pPr>
      <w:r>
        <w:t xml:space="preserve">According to the RAN2 agreements, the gNB can provide the reference time information to the UE via dedicated signalling (i.e. the </w:t>
      </w:r>
      <w:r>
        <w:rPr>
          <w:i/>
        </w:rPr>
        <w:t>DLInformationTransfer</w:t>
      </w:r>
      <w:r>
        <w:t xml:space="preserve"> message). However before providing the reference time information to the UE, the gNB needs to know which UE needs the reference time information. From our understanding, the reference time information provided in the Uu interface is used for the correction of the gPTP message received by the UE. As the gPTP message which is transmitted via the GTP-U tunnel is transparent to the gNB, the gNB is unable to know whether a UE needs to receive the reference time information via the GTP-U tunnel. Thus we consider that the UE can report its interest of the reference time information to the gNB. Furthermore, the UE should not be allowed to arbitrarily report its interest of the reference time information. Then the gNB should indicate whether the report of the UE interest of the reference time information is allowed. </w:t>
      </w:r>
    </w:p>
    <w:p>
      <w:pPr>
        <w:spacing w:afterLines="50" w:line="240" w:lineRule="auto"/>
        <w:jc w:val="left"/>
      </w:pPr>
      <w:r>
        <w:t>To simplify the implementation of both the UE and the gNB and save the discussion time in Rel-16 for the IIOT work item, we consider that the report of the UE interest of the reference time information can reuse the signalling procedure [3] as already agreed for the CONNECTED on-demand SI.</w:t>
      </w:r>
    </w:p>
    <w:p>
      <w:pPr>
        <w:spacing w:afterLines="50" w:line="240" w:lineRule="auto"/>
        <w:jc w:val="left"/>
        <w:rPr>
          <w:b/>
        </w:rPr>
      </w:pPr>
      <w:r>
        <w:rPr>
          <w:b/>
        </w:rPr>
        <w:t>Observation 1: According to the reply LS from SA2, the CN will not provide any information to gNB on whether a CONNECTED UE needs to acquire the reference time information</w:t>
      </w:r>
    </w:p>
    <w:p>
      <w:pPr>
        <w:spacing w:afterLines="50" w:line="240" w:lineRule="auto"/>
        <w:jc w:val="left"/>
        <w:rPr>
          <w:b/>
        </w:rPr>
      </w:pPr>
      <w:r>
        <w:rPr>
          <w:b/>
        </w:rPr>
        <w:t>Proposal 1: The report of the UE interest of the reference information reuses the signalling procedure as already agreed for the CONNECTED on-demand SI as follows:</w:t>
      </w:r>
    </w:p>
    <w:p>
      <w:pPr>
        <w:pStyle w:val="71"/>
        <w:numPr>
          <w:ilvl w:val="0"/>
          <w:numId w:val="7"/>
        </w:numPr>
        <w:spacing w:after="120" w:afterLines="50"/>
        <w:ind w:firstLineChars="0"/>
        <w:rPr>
          <w:b/>
        </w:rPr>
      </w:pPr>
      <w:r>
        <w:rPr>
          <w:b/>
        </w:rPr>
        <w:t xml:space="preserve">The UE is allowed to report its interest of reference time information when the SIB1 indicates that SIB9 is an on-demand SIB (i.e. </w:t>
      </w:r>
      <w:r>
        <w:rPr>
          <w:b/>
          <w:i/>
        </w:rPr>
        <w:t>si-BroadcastStatus</w:t>
      </w:r>
      <w:r>
        <w:rPr>
          <w:b/>
        </w:rPr>
        <w:t xml:space="preserve"> is set to </w:t>
      </w:r>
      <w:r>
        <w:rPr>
          <w:b/>
          <w:i/>
        </w:rPr>
        <w:t>notBroadcasting</w:t>
      </w:r>
      <w:r>
        <w:rPr>
          <w:b/>
        </w:rPr>
        <w:t>).</w:t>
      </w:r>
    </w:p>
    <w:p>
      <w:pPr>
        <w:pStyle w:val="71"/>
        <w:numPr>
          <w:ilvl w:val="0"/>
          <w:numId w:val="7"/>
        </w:numPr>
        <w:spacing w:after="120" w:afterLines="50"/>
        <w:ind w:firstLineChars="0"/>
        <w:rPr>
          <w:b/>
        </w:rPr>
      </w:pPr>
      <w:r>
        <w:rPr>
          <w:b/>
        </w:rPr>
        <w:t xml:space="preserve">The UE interest of reference time information is reported via the </w:t>
      </w:r>
      <w:r>
        <w:rPr>
          <w:b/>
          <w:i/>
        </w:rPr>
        <w:t>DedicatedSIBRequest</w:t>
      </w:r>
      <w:r>
        <w:rPr>
          <w:b/>
        </w:rPr>
        <w:t xml:space="preserve"> message.</w:t>
      </w:r>
    </w:p>
    <w:p>
      <w:pPr>
        <w:spacing w:afterLines="50" w:line="240" w:lineRule="auto"/>
        <w:jc w:val="left"/>
      </w:pPr>
      <w:r>
        <w:t xml:space="preserve">Regarding the content of the UE interest, according to the RRC running CR for the IIOT work item, the reference time can optionally indicates the time type field (i.e. the </w:t>
      </w:r>
      <w:r>
        <w:rPr>
          <w:i/>
        </w:rPr>
        <w:t>timeInfoType</w:t>
      </w:r>
      <w:r>
        <w:t xml:space="preserve"> field) as quoted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Lines="50" w:line="240" w:lineRule="auto"/>
              <w:jc w:val="left"/>
            </w:pPr>
            <w:r>
              <w:t>RRC running CR for NR IIoT:</w:t>
            </w:r>
          </w:p>
          <w:p>
            <w:pPr>
              <w:pStyle w:val="51"/>
              <w:rPr>
                <w:rFonts w:eastAsia="Calibri"/>
                <w:b/>
                <w:i/>
                <w:szCs w:val="22"/>
                <w:lang w:eastAsia="ja-JP"/>
              </w:rPr>
            </w:pPr>
            <w:r>
              <w:rPr>
                <w:rFonts w:eastAsia="Calibri"/>
                <w:b/>
                <w:i/>
                <w:szCs w:val="22"/>
                <w:lang w:eastAsia="ja-JP"/>
              </w:rPr>
              <w:t>timeInfoType</w:t>
            </w:r>
          </w:p>
          <w:p>
            <w:pPr>
              <w:spacing w:afterLines="50" w:line="240" w:lineRule="auto"/>
              <w:jc w:val="left"/>
            </w:pPr>
            <w:r>
              <w:rPr>
                <w:rFonts w:eastAsia="Calibri"/>
              </w:rPr>
              <w:t xml:space="preserve">If </w:t>
            </w:r>
            <w:r>
              <w:rPr>
                <w:rFonts w:eastAsia="Calibri"/>
                <w:i/>
              </w:rPr>
              <w:t>timeInfoType</w:t>
            </w:r>
            <w:r>
              <w:rPr>
                <w:rFonts w:eastAsia="Calibri"/>
              </w:rPr>
              <w:t xml:space="preserve"> is not included, the </w:t>
            </w:r>
            <w:r>
              <w:rPr>
                <w:rFonts w:eastAsia="Calibri"/>
                <w:i/>
              </w:rPr>
              <w:t>time</w:t>
            </w:r>
            <w:r>
              <w:rPr>
                <w:rFonts w:eastAsia="Calibri"/>
              </w:rPr>
              <w:t xml:space="preserve"> indicates the GPS time and the origin of the </w:t>
            </w:r>
            <w:r>
              <w:rPr>
                <w:rFonts w:eastAsia="Calibri"/>
                <w:i/>
              </w:rPr>
              <w:t>time</w:t>
            </w:r>
            <w:r>
              <w:rPr>
                <w:rFonts w:eastAsia="Calibri"/>
              </w:rPr>
              <w:t xml:space="preserve"> field is 00:00:00 on Gregorian calendar date 6 January, 1980 (start of GPS time). If </w:t>
            </w:r>
            <w:r>
              <w:rPr>
                <w:rFonts w:eastAsia="Calibri"/>
                <w:i/>
              </w:rPr>
              <w:t>timeInfoType</w:t>
            </w:r>
            <w:r>
              <w:rPr>
                <w:rFonts w:eastAsia="Calibri"/>
              </w:rPr>
              <w:t xml:space="preserve"> is set to </w:t>
            </w:r>
            <w:r>
              <w:rPr>
                <w:rFonts w:eastAsia="Calibri"/>
                <w:i/>
              </w:rPr>
              <w:t>localClock</w:t>
            </w:r>
            <w:r>
              <w:rPr>
                <w:rFonts w:eastAsia="Calibri"/>
              </w:rPr>
              <w:t xml:space="preserve">, the origin of the </w:t>
            </w:r>
            <w:r>
              <w:rPr>
                <w:rFonts w:eastAsia="Calibri"/>
                <w:i/>
              </w:rPr>
              <w:t>time</w:t>
            </w:r>
            <w:r>
              <w:rPr>
                <w:rFonts w:eastAsia="Calibri"/>
              </w:rPr>
              <w:t xml:space="preserve"> is unspecified.</w:t>
            </w:r>
          </w:p>
        </w:tc>
      </w:tr>
    </w:tbl>
    <w:p>
      <w:pPr>
        <w:spacing w:afterLines="50" w:line="240" w:lineRule="auto"/>
        <w:jc w:val="left"/>
      </w:pPr>
      <w:r>
        <w:t>In order to send a correct time type to the UE, the network needs to know which time type is required by the UE in addition to the 1 bit UE interest.</w:t>
      </w:r>
    </w:p>
    <w:p>
      <w:pPr>
        <w:spacing w:afterLines="50" w:line="240" w:lineRule="auto"/>
        <w:jc w:val="left"/>
        <w:rPr>
          <w:b/>
        </w:rPr>
      </w:pPr>
      <w:r>
        <w:rPr>
          <w:b/>
        </w:rPr>
        <w:t xml:space="preserve">Proposal 2: The UE interest of reference time information includes 1 bit indication on whether the UE needs to acquire the reference time information. </w:t>
      </w:r>
    </w:p>
    <w:p>
      <w:pPr>
        <w:spacing w:afterLines="50" w:line="240" w:lineRule="auto"/>
        <w:jc w:val="left"/>
        <w:rPr>
          <w:b/>
        </w:rPr>
      </w:pPr>
      <w:r>
        <w:rPr>
          <w:b/>
        </w:rPr>
        <w:t xml:space="preserve">Proposal 3: The UE interest of reference time information includes 1 bit indication on whether the required time type is </w:t>
      </w:r>
      <w:r>
        <w:rPr>
          <w:b/>
          <w:i/>
        </w:rPr>
        <w:t>localClock</w:t>
      </w:r>
      <w:r>
        <w:rPr>
          <w:b/>
        </w:rPr>
        <w:t>.</w:t>
      </w:r>
    </w:p>
    <w:p>
      <w:pPr>
        <w:pStyle w:val="3"/>
        <w:keepLines w:val="0"/>
        <w:tabs>
          <w:tab w:val="left" w:pos="576"/>
        </w:tabs>
        <w:spacing w:line="240" w:lineRule="auto"/>
        <w:ind w:left="0" w:firstLine="0"/>
        <w:jc w:val="left"/>
        <w:rPr>
          <w:bCs/>
          <w:szCs w:val="22"/>
        </w:rPr>
      </w:pPr>
      <w:r>
        <w:rPr>
          <w:bCs/>
          <w:szCs w:val="22"/>
        </w:rPr>
        <w:t>Updates of the dedicated reference time information</w:t>
      </w:r>
    </w:p>
    <w:p>
      <w:pPr>
        <w:spacing w:afterLines="50" w:line="240" w:lineRule="auto"/>
        <w:jc w:val="left"/>
      </w:pPr>
      <w:r>
        <w:t>After the reporting of the UE interest of the reference time information, the gNB may send the reference time information via dedicated signalling. However the timing shifting of the internal clock of the UE may cause that the internal clock of the UE is not synchronized with the gNB. Then the UE needs to acquire the reference time information again in order to be synchronized with the gNB’s clock. How it is not clear how the gNB sends the dedicated reference time information again when the internal clock of the UE is de-synchronized with the clock of the gNB after the first reporting of the reference time information.</w:t>
      </w:r>
    </w:p>
    <w:p>
      <w:pPr>
        <w:spacing w:afterLines="50" w:line="240" w:lineRule="auto"/>
        <w:jc w:val="left"/>
        <w:rPr>
          <w:b/>
        </w:rPr>
      </w:pPr>
      <w:r>
        <w:rPr>
          <w:b/>
        </w:rPr>
        <w:t>Observation 2: After the reception of the reference time information, the timing shifting of the internal clock of the UE may cause that the internal clock of the UE is not synchronized with the clock of the gNB.</w:t>
      </w:r>
    </w:p>
    <w:p>
      <w:pPr>
        <w:spacing w:afterLines="50" w:line="240" w:lineRule="auto"/>
        <w:jc w:val="left"/>
        <w:rPr>
          <w:b/>
        </w:rPr>
      </w:pPr>
      <w:r>
        <w:rPr>
          <w:b/>
        </w:rPr>
        <w:t xml:space="preserve">Proposal 4: RAN2 is kindly requested to discuss how the gNB sends the dedicated reference time information again to the UE due to the UE’s clock shifting after the first transmission of the reference time to the UE.  </w:t>
      </w:r>
    </w:p>
    <w:p>
      <w:pPr>
        <w:spacing w:afterLines="50" w:line="240" w:lineRule="auto"/>
        <w:jc w:val="left"/>
      </w:pPr>
    </w:p>
    <w:p>
      <w:pPr>
        <w:spacing w:afterLines="50" w:line="240" w:lineRule="auto"/>
        <w:jc w:val="left"/>
      </w:pPr>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roposals</w:t>
      </w:r>
      <w:r>
        <w:rPr>
          <w:rFonts w:hint="eastAsia"/>
        </w:rPr>
        <w:t>:</w:t>
      </w:r>
    </w:p>
    <w:p>
      <w:pPr>
        <w:spacing w:afterLines="50" w:line="240" w:lineRule="auto"/>
        <w:jc w:val="left"/>
        <w:rPr>
          <w:b/>
        </w:rPr>
      </w:pPr>
      <w:r>
        <w:rPr>
          <w:b/>
        </w:rPr>
        <w:t>Observation 1: According to the reply LS from SA2, the CN will not provide any information to gNB on whether a CONNECTED UE needs to acquire the reference time information</w:t>
      </w:r>
    </w:p>
    <w:p>
      <w:pPr>
        <w:spacing w:afterLines="50" w:line="240" w:lineRule="auto"/>
        <w:jc w:val="left"/>
        <w:rPr>
          <w:b/>
        </w:rPr>
      </w:pPr>
      <w:r>
        <w:rPr>
          <w:b/>
        </w:rPr>
        <w:t>Observation 2: After the reception of the reference time information, the timing shifting of the internal clock of the UE may cause that the internal clock of the UE is not synchronized with the clock of the gNB.</w:t>
      </w:r>
    </w:p>
    <w:p>
      <w:pPr>
        <w:spacing w:afterLines="50" w:line="240" w:lineRule="auto"/>
        <w:jc w:val="left"/>
        <w:rPr>
          <w:b/>
        </w:rPr>
      </w:pPr>
      <w:bookmarkStart w:id="7" w:name="_Toc502437832"/>
      <w:r>
        <w:rPr>
          <w:b/>
        </w:rPr>
        <w:t>Proposal 1: The report of the UE interest of the reference information reuses the signalling procedure as already agreed for the CONNECTED on-demand SI as follows:</w:t>
      </w:r>
    </w:p>
    <w:p>
      <w:pPr>
        <w:pStyle w:val="71"/>
        <w:numPr>
          <w:ilvl w:val="0"/>
          <w:numId w:val="7"/>
        </w:numPr>
        <w:spacing w:after="120" w:afterLines="50"/>
        <w:ind w:firstLineChars="0"/>
        <w:rPr>
          <w:b/>
        </w:rPr>
      </w:pPr>
      <w:r>
        <w:rPr>
          <w:b/>
        </w:rPr>
        <w:t xml:space="preserve">The UE is allowed to report its interest of reference time information when the SIB1 indicates that SIB9 is an on-demand SIB (i.e. </w:t>
      </w:r>
      <w:r>
        <w:rPr>
          <w:b/>
          <w:i/>
        </w:rPr>
        <w:t>si-BroadcastStatus</w:t>
      </w:r>
      <w:r>
        <w:rPr>
          <w:b/>
        </w:rPr>
        <w:t xml:space="preserve"> is set to </w:t>
      </w:r>
      <w:r>
        <w:rPr>
          <w:b/>
          <w:i/>
        </w:rPr>
        <w:t>notBroadcasting</w:t>
      </w:r>
      <w:r>
        <w:rPr>
          <w:b/>
        </w:rPr>
        <w:t>).</w:t>
      </w:r>
    </w:p>
    <w:p>
      <w:pPr>
        <w:pStyle w:val="71"/>
        <w:numPr>
          <w:ilvl w:val="0"/>
          <w:numId w:val="7"/>
        </w:numPr>
        <w:spacing w:after="120" w:afterLines="50"/>
        <w:ind w:firstLineChars="0"/>
        <w:rPr>
          <w:b/>
        </w:rPr>
      </w:pPr>
      <w:r>
        <w:rPr>
          <w:b/>
        </w:rPr>
        <w:t xml:space="preserve">The UE interest of reference time information is reported via the </w:t>
      </w:r>
      <w:r>
        <w:rPr>
          <w:b/>
          <w:i/>
        </w:rPr>
        <w:t>DedicatedSIBRequest</w:t>
      </w:r>
      <w:r>
        <w:rPr>
          <w:b/>
        </w:rPr>
        <w:t xml:space="preserve"> message.</w:t>
      </w:r>
    </w:p>
    <w:p>
      <w:pPr>
        <w:spacing w:afterLines="50" w:line="240" w:lineRule="auto"/>
        <w:jc w:val="left"/>
        <w:rPr>
          <w:b/>
        </w:rPr>
      </w:pPr>
      <w:r>
        <w:rPr>
          <w:b/>
        </w:rPr>
        <w:t xml:space="preserve">Proposal 2: The UE interest of reference time information includes 1 bit indication on whether the UE needs to acquire the reference time information. </w:t>
      </w:r>
    </w:p>
    <w:p>
      <w:pPr>
        <w:spacing w:afterLines="50" w:line="240" w:lineRule="auto"/>
        <w:jc w:val="left"/>
        <w:rPr>
          <w:b/>
        </w:rPr>
      </w:pPr>
      <w:r>
        <w:rPr>
          <w:b/>
        </w:rPr>
        <w:t xml:space="preserve">Proposal 3: The UE interest of reference time information includes 1 bit indication on whether the required time type is </w:t>
      </w:r>
      <w:r>
        <w:rPr>
          <w:b/>
          <w:i/>
        </w:rPr>
        <w:t>localClock</w:t>
      </w:r>
      <w:r>
        <w:rPr>
          <w:b/>
        </w:rPr>
        <w:t>.</w:t>
      </w:r>
    </w:p>
    <w:p>
      <w:pPr>
        <w:spacing w:afterLines="50" w:line="240" w:lineRule="auto"/>
        <w:jc w:val="left"/>
        <w:rPr>
          <w:b/>
        </w:rPr>
      </w:pPr>
      <w:r>
        <w:rPr>
          <w:b/>
        </w:rPr>
        <w:t xml:space="preserve">Proposal 4: RAN2 is kindly requested to discuss how the gNB sends the dedicated reference time information again to the UE due to the UE’s clock shifting after the first transmission of the reference time to the UE.  </w:t>
      </w:r>
    </w:p>
    <w:p>
      <w:pPr>
        <w:spacing w:afterLines="50" w:line="240" w:lineRule="auto"/>
        <w:jc w:val="left"/>
        <w:rPr>
          <w:b/>
        </w:rPr>
      </w:pPr>
    </w:p>
    <w:p>
      <w:pPr>
        <w:pStyle w:val="2"/>
        <w:spacing w:before="180" w:line="240" w:lineRule="auto"/>
        <w:ind w:left="0" w:firstLine="0"/>
        <w:jc w:val="left"/>
      </w:pPr>
      <w:r>
        <w:t>Reference</w:t>
      </w:r>
    </w:p>
    <w:bookmarkEnd w:id="7"/>
    <w:p>
      <w:pPr>
        <w:spacing w:afterLines="50" w:line="240" w:lineRule="auto"/>
        <w:jc w:val="left"/>
      </w:pPr>
      <w:r>
        <w:t>[1] R2-1914213, LSout, RAN2, “LS to SA2 on reference time delivery”</w:t>
      </w:r>
    </w:p>
    <w:p>
      <w:pPr>
        <w:spacing w:afterLines="50" w:line="240" w:lineRule="auto"/>
        <w:jc w:val="left"/>
      </w:pPr>
      <w:r>
        <w:t>[2] S2-1912769, Reply LSin, SA2, “Reply LS on reference time delivery”</w:t>
      </w:r>
    </w:p>
    <w:p>
      <w:pPr>
        <w:spacing w:afterLines="50" w:line="240" w:lineRule="auto"/>
        <w:jc w:val="left"/>
      </w:pPr>
      <w:r>
        <w:t>[3] R2-1916591, Ericsson, “Running CR on 38.331 for on-demand SI procedure in RRC_CONNECTED”</w:t>
      </w:r>
    </w:p>
    <w:p>
      <w:pPr>
        <w:spacing w:afterLines="50" w:line="240" w:lineRule="auto"/>
        <w:jc w:val="left"/>
      </w:pPr>
      <w:r>
        <w:t>[4] R2-19xxxx, Ericsson, “RRC running CR for NR IIoT”</w:t>
      </w: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20"/>
        <w:tab w:val="right" w:pos="9639"/>
      </w:tabs>
      <w:jc w:val="left"/>
    </w:pPr>
    <w:r>
      <w:rPr>
        <w:rStyle w:val="25"/>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2150B9E"/>
    <w:multiLevelType w:val="multilevel"/>
    <w:tmpl w:val="32150B9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5"/>
  </w:num>
  <w:num w:numId="4">
    <w:abstractNumId w:val="1"/>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C76"/>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90031"/>
    <w:rsid w:val="000902B7"/>
    <w:rsid w:val="00090B25"/>
    <w:rsid w:val="00090CFA"/>
    <w:rsid w:val="00090DFC"/>
    <w:rsid w:val="00091492"/>
    <w:rsid w:val="00091792"/>
    <w:rsid w:val="0009216B"/>
    <w:rsid w:val="00093179"/>
    <w:rsid w:val="00093671"/>
    <w:rsid w:val="00093B7E"/>
    <w:rsid w:val="00093FAA"/>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A6F"/>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303"/>
    <w:rsid w:val="000F6884"/>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AFA"/>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6A78"/>
    <w:rsid w:val="001572D6"/>
    <w:rsid w:val="001578BF"/>
    <w:rsid w:val="001607AD"/>
    <w:rsid w:val="00160F5E"/>
    <w:rsid w:val="00161188"/>
    <w:rsid w:val="001617DC"/>
    <w:rsid w:val="001618F1"/>
    <w:rsid w:val="00161A91"/>
    <w:rsid w:val="00161C9E"/>
    <w:rsid w:val="00161CCD"/>
    <w:rsid w:val="00161D44"/>
    <w:rsid w:val="00162191"/>
    <w:rsid w:val="0016222A"/>
    <w:rsid w:val="001637E4"/>
    <w:rsid w:val="00163928"/>
    <w:rsid w:val="00163995"/>
    <w:rsid w:val="001639E1"/>
    <w:rsid w:val="001644A5"/>
    <w:rsid w:val="00164B98"/>
    <w:rsid w:val="00164CEC"/>
    <w:rsid w:val="00164F05"/>
    <w:rsid w:val="001656D9"/>
    <w:rsid w:val="001667BE"/>
    <w:rsid w:val="00167341"/>
    <w:rsid w:val="0016746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3C9"/>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CAF"/>
    <w:rsid w:val="00186E4B"/>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A8"/>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61F"/>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71"/>
    <w:rsid w:val="00212CAF"/>
    <w:rsid w:val="00212FA5"/>
    <w:rsid w:val="002132A5"/>
    <w:rsid w:val="00214A8A"/>
    <w:rsid w:val="0021512C"/>
    <w:rsid w:val="00215243"/>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830"/>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6E2"/>
    <w:rsid w:val="00274EFB"/>
    <w:rsid w:val="00274F4E"/>
    <w:rsid w:val="0027559F"/>
    <w:rsid w:val="00275EB0"/>
    <w:rsid w:val="00276288"/>
    <w:rsid w:val="00276485"/>
    <w:rsid w:val="00277855"/>
    <w:rsid w:val="0028006C"/>
    <w:rsid w:val="00280A0B"/>
    <w:rsid w:val="0028191D"/>
    <w:rsid w:val="00281CB6"/>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BCD"/>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ADD"/>
    <w:rsid w:val="002B1F4B"/>
    <w:rsid w:val="002B260C"/>
    <w:rsid w:val="002B2F91"/>
    <w:rsid w:val="002B49DD"/>
    <w:rsid w:val="002B5314"/>
    <w:rsid w:val="002B5CCF"/>
    <w:rsid w:val="002B5DBF"/>
    <w:rsid w:val="002B5ED3"/>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3F5"/>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3F27"/>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0FDB"/>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2F78D8"/>
    <w:rsid w:val="003000AB"/>
    <w:rsid w:val="00300295"/>
    <w:rsid w:val="00300530"/>
    <w:rsid w:val="00300F34"/>
    <w:rsid w:val="0030119F"/>
    <w:rsid w:val="003011A0"/>
    <w:rsid w:val="0030139A"/>
    <w:rsid w:val="003014FF"/>
    <w:rsid w:val="0030167F"/>
    <w:rsid w:val="00301CF5"/>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9CC"/>
    <w:rsid w:val="00314B40"/>
    <w:rsid w:val="003162E0"/>
    <w:rsid w:val="003167FE"/>
    <w:rsid w:val="00316DDA"/>
    <w:rsid w:val="00317034"/>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6C05"/>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1A3"/>
    <w:rsid w:val="003A44CD"/>
    <w:rsid w:val="003A5349"/>
    <w:rsid w:val="003A6270"/>
    <w:rsid w:val="003A6FF8"/>
    <w:rsid w:val="003A721D"/>
    <w:rsid w:val="003A7783"/>
    <w:rsid w:val="003B039C"/>
    <w:rsid w:val="003B18C2"/>
    <w:rsid w:val="003B1A82"/>
    <w:rsid w:val="003B2547"/>
    <w:rsid w:val="003B2D97"/>
    <w:rsid w:val="003B2E6E"/>
    <w:rsid w:val="003B3865"/>
    <w:rsid w:val="003B3A6E"/>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929"/>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AA4"/>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4A02"/>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86A"/>
    <w:rsid w:val="00415A6E"/>
    <w:rsid w:val="00417690"/>
    <w:rsid w:val="00417901"/>
    <w:rsid w:val="00417A7D"/>
    <w:rsid w:val="00417B1D"/>
    <w:rsid w:val="00417F08"/>
    <w:rsid w:val="004200D6"/>
    <w:rsid w:val="00420B18"/>
    <w:rsid w:val="00420FD7"/>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08"/>
    <w:rsid w:val="00433A36"/>
    <w:rsid w:val="00434908"/>
    <w:rsid w:val="00434A7C"/>
    <w:rsid w:val="00434A8A"/>
    <w:rsid w:val="00434EDA"/>
    <w:rsid w:val="00435358"/>
    <w:rsid w:val="00435730"/>
    <w:rsid w:val="00435AE7"/>
    <w:rsid w:val="00436E5C"/>
    <w:rsid w:val="00436F4B"/>
    <w:rsid w:val="004378FF"/>
    <w:rsid w:val="004379BA"/>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3A"/>
    <w:rsid w:val="00455B80"/>
    <w:rsid w:val="00456123"/>
    <w:rsid w:val="00457F24"/>
    <w:rsid w:val="0046056B"/>
    <w:rsid w:val="004619F1"/>
    <w:rsid w:val="00461DC9"/>
    <w:rsid w:val="0046227B"/>
    <w:rsid w:val="00462775"/>
    <w:rsid w:val="00463094"/>
    <w:rsid w:val="004630F2"/>
    <w:rsid w:val="00463C46"/>
    <w:rsid w:val="00464193"/>
    <w:rsid w:val="00464938"/>
    <w:rsid w:val="00464BEE"/>
    <w:rsid w:val="0046506F"/>
    <w:rsid w:val="00465227"/>
    <w:rsid w:val="00465755"/>
    <w:rsid w:val="004661C2"/>
    <w:rsid w:val="00466615"/>
    <w:rsid w:val="00466681"/>
    <w:rsid w:val="004667D7"/>
    <w:rsid w:val="00466F44"/>
    <w:rsid w:val="00467C9D"/>
    <w:rsid w:val="00467DC5"/>
    <w:rsid w:val="00470640"/>
    <w:rsid w:val="00471181"/>
    <w:rsid w:val="00471F0B"/>
    <w:rsid w:val="0047205F"/>
    <w:rsid w:val="00472304"/>
    <w:rsid w:val="0047245C"/>
    <w:rsid w:val="00472550"/>
    <w:rsid w:val="00472CCD"/>
    <w:rsid w:val="00472F70"/>
    <w:rsid w:val="00473415"/>
    <w:rsid w:val="00474104"/>
    <w:rsid w:val="00474332"/>
    <w:rsid w:val="0047437A"/>
    <w:rsid w:val="0047533B"/>
    <w:rsid w:val="00475504"/>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00A"/>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0C4"/>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2C9"/>
    <w:rsid w:val="00523D6B"/>
    <w:rsid w:val="0052439D"/>
    <w:rsid w:val="0052450D"/>
    <w:rsid w:val="00525C15"/>
    <w:rsid w:val="0052601F"/>
    <w:rsid w:val="00526436"/>
    <w:rsid w:val="00526783"/>
    <w:rsid w:val="0052682E"/>
    <w:rsid w:val="00527377"/>
    <w:rsid w:val="005278F7"/>
    <w:rsid w:val="00527ACE"/>
    <w:rsid w:val="00527B02"/>
    <w:rsid w:val="00527D8B"/>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37B45"/>
    <w:rsid w:val="005407EF"/>
    <w:rsid w:val="00540A78"/>
    <w:rsid w:val="00540BF1"/>
    <w:rsid w:val="00542118"/>
    <w:rsid w:val="0054244B"/>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4407"/>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15A"/>
    <w:rsid w:val="005A3C0E"/>
    <w:rsid w:val="005A4398"/>
    <w:rsid w:val="005A4774"/>
    <w:rsid w:val="005A519E"/>
    <w:rsid w:val="005A54E4"/>
    <w:rsid w:val="005A5C54"/>
    <w:rsid w:val="005A656C"/>
    <w:rsid w:val="005A6892"/>
    <w:rsid w:val="005A6FB5"/>
    <w:rsid w:val="005A7AC4"/>
    <w:rsid w:val="005B0467"/>
    <w:rsid w:val="005B07A5"/>
    <w:rsid w:val="005B0AA6"/>
    <w:rsid w:val="005B10E0"/>
    <w:rsid w:val="005B2E06"/>
    <w:rsid w:val="005B2E6A"/>
    <w:rsid w:val="005B304C"/>
    <w:rsid w:val="005B3707"/>
    <w:rsid w:val="005B4B1F"/>
    <w:rsid w:val="005B587D"/>
    <w:rsid w:val="005B665B"/>
    <w:rsid w:val="005B6E64"/>
    <w:rsid w:val="005B7594"/>
    <w:rsid w:val="005C081E"/>
    <w:rsid w:val="005C0DD3"/>
    <w:rsid w:val="005C145B"/>
    <w:rsid w:val="005C1915"/>
    <w:rsid w:val="005C211B"/>
    <w:rsid w:val="005C2773"/>
    <w:rsid w:val="005C2933"/>
    <w:rsid w:val="005C2AA9"/>
    <w:rsid w:val="005C2FDD"/>
    <w:rsid w:val="005C31CF"/>
    <w:rsid w:val="005C334D"/>
    <w:rsid w:val="005C4103"/>
    <w:rsid w:val="005C4885"/>
    <w:rsid w:val="005C4B21"/>
    <w:rsid w:val="005C4E97"/>
    <w:rsid w:val="005C52F7"/>
    <w:rsid w:val="005C562D"/>
    <w:rsid w:val="005C5902"/>
    <w:rsid w:val="005C5D01"/>
    <w:rsid w:val="005C5E55"/>
    <w:rsid w:val="005C6178"/>
    <w:rsid w:val="005C6A1C"/>
    <w:rsid w:val="005C6F5C"/>
    <w:rsid w:val="005C6F80"/>
    <w:rsid w:val="005C7A2B"/>
    <w:rsid w:val="005C7D8E"/>
    <w:rsid w:val="005C7F19"/>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6D10"/>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9"/>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C1F"/>
    <w:rsid w:val="00662E04"/>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389F"/>
    <w:rsid w:val="00674587"/>
    <w:rsid w:val="00674626"/>
    <w:rsid w:val="00674700"/>
    <w:rsid w:val="006748C8"/>
    <w:rsid w:val="00674B92"/>
    <w:rsid w:val="00675615"/>
    <w:rsid w:val="006768EA"/>
    <w:rsid w:val="00676E80"/>
    <w:rsid w:val="00677265"/>
    <w:rsid w:val="00677985"/>
    <w:rsid w:val="00677AD8"/>
    <w:rsid w:val="0068024F"/>
    <w:rsid w:val="006802D0"/>
    <w:rsid w:val="00680872"/>
    <w:rsid w:val="00680C3C"/>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4BC"/>
    <w:rsid w:val="006C3968"/>
    <w:rsid w:val="006C4033"/>
    <w:rsid w:val="006C52FF"/>
    <w:rsid w:val="006C643D"/>
    <w:rsid w:val="006C6D3B"/>
    <w:rsid w:val="006C7434"/>
    <w:rsid w:val="006C745B"/>
    <w:rsid w:val="006D07D7"/>
    <w:rsid w:val="006D1195"/>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0F3"/>
    <w:rsid w:val="006E3132"/>
    <w:rsid w:val="006E39DE"/>
    <w:rsid w:val="006E3B9D"/>
    <w:rsid w:val="006E4622"/>
    <w:rsid w:val="006E5149"/>
    <w:rsid w:val="006E5BCB"/>
    <w:rsid w:val="006E5F94"/>
    <w:rsid w:val="006E69AA"/>
    <w:rsid w:val="006E6F66"/>
    <w:rsid w:val="006F06C9"/>
    <w:rsid w:val="006F0D9D"/>
    <w:rsid w:val="006F1FBA"/>
    <w:rsid w:val="006F20A2"/>
    <w:rsid w:val="006F231B"/>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4FC"/>
    <w:rsid w:val="00712DD0"/>
    <w:rsid w:val="00713574"/>
    <w:rsid w:val="00713758"/>
    <w:rsid w:val="00713E28"/>
    <w:rsid w:val="007140D3"/>
    <w:rsid w:val="0071430A"/>
    <w:rsid w:val="007143A6"/>
    <w:rsid w:val="007153AB"/>
    <w:rsid w:val="0071567C"/>
    <w:rsid w:val="007158AA"/>
    <w:rsid w:val="00715CB8"/>
    <w:rsid w:val="007162B8"/>
    <w:rsid w:val="00716901"/>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5FD7"/>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11B"/>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6AA"/>
    <w:rsid w:val="00752B3F"/>
    <w:rsid w:val="00752EBA"/>
    <w:rsid w:val="007535EB"/>
    <w:rsid w:val="00755381"/>
    <w:rsid w:val="007557D6"/>
    <w:rsid w:val="00755864"/>
    <w:rsid w:val="0075624A"/>
    <w:rsid w:val="007562B5"/>
    <w:rsid w:val="007562CB"/>
    <w:rsid w:val="00756C59"/>
    <w:rsid w:val="00757A16"/>
    <w:rsid w:val="007604AE"/>
    <w:rsid w:val="00760975"/>
    <w:rsid w:val="00760B5C"/>
    <w:rsid w:val="00761097"/>
    <w:rsid w:val="007610F2"/>
    <w:rsid w:val="00761B71"/>
    <w:rsid w:val="00762936"/>
    <w:rsid w:val="007629EC"/>
    <w:rsid w:val="00762AB6"/>
    <w:rsid w:val="00762B34"/>
    <w:rsid w:val="00762E6A"/>
    <w:rsid w:val="007631F1"/>
    <w:rsid w:val="00763332"/>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901BC"/>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E67"/>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6AE"/>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19F"/>
    <w:rsid w:val="007E6823"/>
    <w:rsid w:val="007E6B35"/>
    <w:rsid w:val="007E6C12"/>
    <w:rsid w:val="007E76F3"/>
    <w:rsid w:val="007E7855"/>
    <w:rsid w:val="007E7EC0"/>
    <w:rsid w:val="007F198D"/>
    <w:rsid w:val="007F1A6F"/>
    <w:rsid w:val="007F1AAE"/>
    <w:rsid w:val="007F238D"/>
    <w:rsid w:val="007F3885"/>
    <w:rsid w:val="007F3BF4"/>
    <w:rsid w:val="007F5DE0"/>
    <w:rsid w:val="007F5E47"/>
    <w:rsid w:val="007F6395"/>
    <w:rsid w:val="007F7B26"/>
    <w:rsid w:val="0080049F"/>
    <w:rsid w:val="00800D00"/>
    <w:rsid w:val="00801923"/>
    <w:rsid w:val="0080195A"/>
    <w:rsid w:val="008020BF"/>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AF9"/>
    <w:rsid w:val="00813C54"/>
    <w:rsid w:val="00814DE1"/>
    <w:rsid w:val="00814EEF"/>
    <w:rsid w:val="00814FF0"/>
    <w:rsid w:val="00815299"/>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006"/>
    <w:rsid w:val="0083191E"/>
    <w:rsid w:val="00831DEC"/>
    <w:rsid w:val="008327F9"/>
    <w:rsid w:val="00832B33"/>
    <w:rsid w:val="00832B9F"/>
    <w:rsid w:val="0083382A"/>
    <w:rsid w:val="00834907"/>
    <w:rsid w:val="00834A66"/>
    <w:rsid w:val="00834B5A"/>
    <w:rsid w:val="0083609F"/>
    <w:rsid w:val="00837355"/>
    <w:rsid w:val="00837D90"/>
    <w:rsid w:val="00837E7D"/>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130C"/>
    <w:rsid w:val="0087210E"/>
    <w:rsid w:val="0087212E"/>
    <w:rsid w:val="0087213F"/>
    <w:rsid w:val="008725B4"/>
    <w:rsid w:val="00872A46"/>
    <w:rsid w:val="00872BB6"/>
    <w:rsid w:val="00875395"/>
    <w:rsid w:val="008754BC"/>
    <w:rsid w:val="00875DB5"/>
    <w:rsid w:val="008773FF"/>
    <w:rsid w:val="00877802"/>
    <w:rsid w:val="00880374"/>
    <w:rsid w:val="008821C2"/>
    <w:rsid w:val="008826BD"/>
    <w:rsid w:val="00882D24"/>
    <w:rsid w:val="00882F34"/>
    <w:rsid w:val="0088381F"/>
    <w:rsid w:val="00883C57"/>
    <w:rsid w:val="008845D2"/>
    <w:rsid w:val="00884D18"/>
    <w:rsid w:val="00885011"/>
    <w:rsid w:val="00885165"/>
    <w:rsid w:val="008855CB"/>
    <w:rsid w:val="00885A48"/>
    <w:rsid w:val="00885C04"/>
    <w:rsid w:val="0088600F"/>
    <w:rsid w:val="008860C3"/>
    <w:rsid w:val="008861B8"/>
    <w:rsid w:val="0088635F"/>
    <w:rsid w:val="00886E91"/>
    <w:rsid w:val="00887266"/>
    <w:rsid w:val="00887912"/>
    <w:rsid w:val="00887E09"/>
    <w:rsid w:val="0089026D"/>
    <w:rsid w:val="0089049A"/>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4B5"/>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495A"/>
    <w:rsid w:val="008E5A9E"/>
    <w:rsid w:val="008E65F7"/>
    <w:rsid w:val="008E6B4A"/>
    <w:rsid w:val="008F04CB"/>
    <w:rsid w:val="008F0F55"/>
    <w:rsid w:val="008F1D26"/>
    <w:rsid w:val="008F1ECF"/>
    <w:rsid w:val="008F411A"/>
    <w:rsid w:val="008F5140"/>
    <w:rsid w:val="008F56C2"/>
    <w:rsid w:val="008F5AB2"/>
    <w:rsid w:val="008F5C62"/>
    <w:rsid w:val="008F5CAB"/>
    <w:rsid w:val="008F5F72"/>
    <w:rsid w:val="008F6B4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2A2"/>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89F"/>
    <w:rsid w:val="0091793A"/>
    <w:rsid w:val="00917AB4"/>
    <w:rsid w:val="00917D5D"/>
    <w:rsid w:val="00917D8A"/>
    <w:rsid w:val="00920E89"/>
    <w:rsid w:val="00920F5E"/>
    <w:rsid w:val="0092106E"/>
    <w:rsid w:val="0092118D"/>
    <w:rsid w:val="009214A5"/>
    <w:rsid w:val="0092181D"/>
    <w:rsid w:val="009218FF"/>
    <w:rsid w:val="009243F9"/>
    <w:rsid w:val="00924C33"/>
    <w:rsid w:val="00924F61"/>
    <w:rsid w:val="00925037"/>
    <w:rsid w:val="00925D7B"/>
    <w:rsid w:val="00926397"/>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37F59"/>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47F32"/>
    <w:rsid w:val="0095090C"/>
    <w:rsid w:val="00950B18"/>
    <w:rsid w:val="0095106D"/>
    <w:rsid w:val="00951106"/>
    <w:rsid w:val="009512F1"/>
    <w:rsid w:val="009514DD"/>
    <w:rsid w:val="00952DBA"/>
    <w:rsid w:val="00953EDC"/>
    <w:rsid w:val="009547A0"/>
    <w:rsid w:val="009551B3"/>
    <w:rsid w:val="009556AB"/>
    <w:rsid w:val="00956A5C"/>
    <w:rsid w:val="00956E50"/>
    <w:rsid w:val="00957099"/>
    <w:rsid w:val="00957AA8"/>
    <w:rsid w:val="009609EB"/>
    <w:rsid w:val="009615CF"/>
    <w:rsid w:val="00962227"/>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70A4"/>
    <w:rsid w:val="00977514"/>
    <w:rsid w:val="00977576"/>
    <w:rsid w:val="00977831"/>
    <w:rsid w:val="009779D5"/>
    <w:rsid w:val="00977BB3"/>
    <w:rsid w:val="00977BE8"/>
    <w:rsid w:val="00977D18"/>
    <w:rsid w:val="009805BA"/>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6483"/>
    <w:rsid w:val="00996E13"/>
    <w:rsid w:val="009A0241"/>
    <w:rsid w:val="009A07E6"/>
    <w:rsid w:val="009A1188"/>
    <w:rsid w:val="009A19C6"/>
    <w:rsid w:val="009A1DAC"/>
    <w:rsid w:val="009A1ED9"/>
    <w:rsid w:val="009A43B5"/>
    <w:rsid w:val="009A43B6"/>
    <w:rsid w:val="009A5199"/>
    <w:rsid w:val="009A5709"/>
    <w:rsid w:val="009A5901"/>
    <w:rsid w:val="009A5A4A"/>
    <w:rsid w:val="009A668D"/>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17C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0D59"/>
    <w:rsid w:val="009D1187"/>
    <w:rsid w:val="009D13CF"/>
    <w:rsid w:val="009D146E"/>
    <w:rsid w:val="009D1847"/>
    <w:rsid w:val="009D1C72"/>
    <w:rsid w:val="009D201C"/>
    <w:rsid w:val="009D2134"/>
    <w:rsid w:val="009D21E2"/>
    <w:rsid w:val="009D22B4"/>
    <w:rsid w:val="009D2D98"/>
    <w:rsid w:val="009D348A"/>
    <w:rsid w:val="009D38F9"/>
    <w:rsid w:val="009D40CA"/>
    <w:rsid w:val="009D41C7"/>
    <w:rsid w:val="009D42F4"/>
    <w:rsid w:val="009D483F"/>
    <w:rsid w:val="009D54C1"/>
    <w:rsid w:val="009D54DD"/>
    <w:rsid w:val="009D5A79"/>
    <w:rsid w:val="009D5BAD"/>
    <w:rsid w:val="009D69B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2D1"/>
    <w:rsid w:val="009E4430"/>
    <w:rsid w:val="009E4CE6"/>
    <w:rsid w:val="009E4DA9"/>
    <w:rsid w:val="009E55A5"/>
    <w:rsid w:val="009E5B6A"/>
    <w:rsid w:val="009E6001"/>
    <w:rsid w:val="009E68EC"/>
    <w:rsid w:val="009E6EEF"/>
    <w:rsid w:val="009E79F1"/>
    <w:rsid w:val="009F03D2"/>
    <w:rsid w:val="009F06DB"/>
    <w:rsid w:val="009F0895"/>
    <w:rsid w:val="009F09C5"/>
    <w:rsid w:val="009F0B3E"/>
    <w:rsid w:val="009F0C6F"/>
    <w:rsid w:val="009F1183"/>
    <w:rsid w:val="009F17EE"/>
    <w:rsid w:val="009F19FD"/>
    <w:rsid w:val="009F22E6"/>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66E0"/>
    <w:rsid w:val="009F67F5"/>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1A0"/>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77D"/>
    <w:rsid w:val="00A15A99"/>
    <w:rsid w:val="00A15F21"/>
    <w:rsid w:val="00A16F98"/>
    <w:rsid w:val="00A17237"/>
    <w:rsid w:val="00A17FD2"/>
    <w:rsid w:val="00A20554"/>
    <w:rsid w:val="00A212A0"/>
    <w:rsid w:val="00A21AA3"/>
    <w:rsid w:val="00A21D17"/>
    <w:rsid w:val="00A22648"/>
    <w:rsid w:val="00A246FF"/>
    <w:rsid w:val="00A24761"/>
    <w:rsid w:val="00A24779"/>
    <w:rsid w:val="00A252CB"/>
    <w:rsid w:val="00A2534B"/>
    <w:rsid w:val="00A255C7"/>
    <w:rsid w:val="00A26094"/>
    <w:rsid w:val="00A263C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076B"/>
    <w:rsid w:val="00A41AC8"/>
    <w:rsid w:val="00A42521"/>
    <w:rsid w:val="00A42615"/>
    <w:rsid w:val="00A42636"/>
    <w:rsid w:val="00A439A3"/>
    <w:rsid w:val="00A43B15"/>
    <w:rsid w:val="00A449F4"/>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24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285"/>
    <w:rsid w:val="00AA26AB"/>
    <w:rsid w:val="00AA277C"/>
    <w:rsid w:val="00AA2956"/>
    <w:rsid w:val="00AA29A2"/>
    <w:rsid w:val="00AA2CB6"/>
    <w:rsid w:val="00AA2DE6"/>
    <w:rsid w:val="00AA39AC"/>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B7EC4"/>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0061"/>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4B81"/>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97B"/>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DD2"/>
    <w:rsid w:val="00B40E06"/>
    <w:rsid w:val="00B40F92"/>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2AF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CF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3C45"/>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350"/>
    <w:rsid w:val="00B9572E"/>
    <w:rsid w:val="00B95D86"/>
    <w:rsid w:val="00B95F98"/>
    <w:rsid w:val="00B96C77"/>
    <w:rsid w:val="00B96DA0"/>
    <w:rsid w:val="00B96FE2"/>
    <w:rsid w:val="00B97468"/>
    <w:rsid w:val="00BA02FD"/>
    <w:rsid w:val="00BA09B8"/>
    <w:rsid w:val="00BA1317"/>
    <w:rsid w:val="00BA2042"/>
    <w:rsid w:val="00BA20A7"/>
    <w:rsid w:val="00BA23FA"/>
    <w:rsid w:val="00BA5099"/>
    <w:rsid w:val="00BA59DE"/>
    <w:rsid w:val="00BA5CA9"/>
    <w:rsid w:val="00BA5F12"/>
    <w:rsid w:val="00BA62B9"/>
    <w:rsid w:val="00BA720C"/>
    <w:rsid w:val="00BA7423"/>
    <w:rsid w:val="00BA756D"/>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603"/>
    <w:rsid w:val="00BC2D61"/>
    <w:rsid w:val="00BC35F4"/>
    <w:rsid w:val="00BC3D1E"/>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0E15"/>
    <w:rsid w:val="00BE1B0D"/>
    <w:rsid w:val="00BE24E5"/>
    <w:rsid w:val="00BE37D5"/>
    <w:rsid w:val="00BE6BED"/>
    <w:rsid w:val="00BE6F8A"/>
    <w:rsid w:val="00BE751E"/>
    <w:rsid w:val="00BE7EB3"/>
    <w:rsid w:val="00BF0D0E"/>
    <w:rsid w:val="00BF0E5F"/>
    <w:rsid w:val="00BF1157"/>
    <w:rsid w:val="00BF19A2"/>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201E"/>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572E"/>
    <w:rsid w:val="00C26183"/>
    <w:rsid w:val="00C267FB"/>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6DA2"/>
    <w:rsid w:val="00C37324"/>
    <w:rsid w:val="00C37639"/>
    <w:rsid w:val="00C377D4"/>
    <w:rsid w:val="00C379BB"/>
    <w:rsid w:val="00C37C37"/>
    <w:rsid w:val="00C404D9"/>
    <w:rsid w:val="00C40823"/>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576"/>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4D6F"/>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1E54"/>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12A"/>
    <w:rsid w:val="00CE02B7"/>
    <w:rsid w:val="00CE05E8"/>
    <w:rsid w:val="00CE07ED"/>
    <w:rsid w:val="00CE16AC"/>
    <w:rsid w:val="00CE1E14"/>
    <w:rsid w:val="00CE26CB"/>
    <w:rsid w:val="00CE2B29"/>
    <w:rsid w:val="00CE3165"/>
    <w:rsid w:val="00CE39A3"/>
    <w:rsid w:val="00CE4386"/>
    <w:rsid w:val="00CE4D66"/>
    <w:rsid w:val="00CE5B25"/>
    <w:rsid w:val="00CE6B81"/>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962"/>
    <w:rsid w:val="00CF7A57"/>
    <w:rsid w:val="00CF7D65"/>
    <w:rsid w:val="00CF7F5E"/>
    <w:rsid w:val="00D00D15"/>
    <w:rsid w:val="00D015F7"/>
    <w:rsid w:val="00D0186A"/>
    <w:rsid w:val="00D01965"/>
    <w:rsid w:val="00D01F10"/>
    <w:rsid w:val="00D0248F"/>
    <w:rsid w:val="00D0266D"/>
    <w:rsid w:val="00D02728"/>
    <w:rsid w:val="00D02869"/>
    <w:rsid w:val="00D02B50"/>
    <w:rsid w:val="00D02CAD"/>
    <w:rsid w:val="00D02FEC"/>
    <w:rsid w:val="00D03064"/>
    <w:rsid w:val="00D03EC7"/>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0AAD"/>
    <w:rsid w:val="00D11D61"/>
    <w:rsid w:val="00D1239C"/>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200"/>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1C8"/>
    <w:rsid w:val="00D6668C"/>
    <w:rsid w:val="00D6765B"/>
    <w:rsid w:val="00D677CC"/>
    <w:rsid w:val="00D678D5"/>
    <w:rsid w:val="00D67947"/>
    <w:rsid w:val="00D67FA4"/>
    <w:rsid w:val="00D67FE9"/>
    <w:rsid w:val="00D7029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2A6F"/>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A7E29"/>
    <w:rsid w:val="00DB0867"/>
    <w:rsid w:val="00DB0A8D"/>
    <w:rsid w:val="00DB0CC0"/>
    <w:rsid w:val="00DB0DC8"/>
    <w:rsid w:val="00DB0E9F"/>
    <w:rsid w:val="00DB1484"/>
    <w:rsid w:val="00DB1605"/>
    <w:rsid w:val="00DB2095"/>
    <w:rsid w:val="00DB2B25"/>
    <w:rsid w:val="00DB35B4"/>
    <w:rsid w:val="00DB37BD"/>
    <w:rsid w:val="00DB3B11"/>
    <w:rsid w:val="00DB3C66"/>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BDF"/>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431"/>
    <w:rsid w:val="00E24910"/>
    <w:rsid w:val="00E26100"/>
    <w:rsid w:val="00E26430"/>
    <w:rsid w:val="00E267B3"/>
    <w:rsid w:val="00E27345"/>
    <w:rsid w:val="00E27A0A"/>
    <w:rsid w:val="00E311B7"/>
    <w:rsid w:val="00E3127C"/>
    <w:rsid w:val="00E31D55"/>
    <w:rsid w:val="00E31F5E"/>
    <w:rsid w:val="00E3229B"/>
    <w:rsid w:val="00E32427"/>
    <w:rsid w:val="00E32C18"/>
    <w:rsid w:val="00E32CD6"/>
    <w:rsid w:val="00E32F13"/>
    <w:rsid w:val="00E33502"/>
    <w:rsid w:val="00E340AF"/>
    <w:rsid w:val="00E34265"/>
    <w:rsid w:val="00E34322"/>
    <w:rsid w:val="00E34469"/>
    <w:rsid w:val="00E346B8"/>
    <w:rsid w:val="00E34B9D"/>
    <w:rsid w:val="00E34DEE"/>
    <w:rsid w:val="00E3534E"/>
    <w:rsid w:val="00E35A1C"/>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84D"/>
    <w:rsid w:val="00E51BD7"/>
    <w:rsid w:val="00E51C0A"/>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63"/>
    <w:rsid w:val="00E706A9"/>
    <w:rsid w:val="00E70B3B"/>
    <w:rsid w:val="00E7120F"/>
    <w:rsid w:val="00E7139C"/>
    <w:rsid w:val="00E719B8"/>
    <w:rsid w:val="00E71D4D"/>
    <w:rsid w:val="00E731ED"/>
    <w:rsid w:val="00E73551"/>
    <w:rsid w:val="00E73B04"/>
    <w:rsid w:val="00E74092"/>
    <w:rsid w:val="00E74889"/>
    <w:rsid w:val="00E74906"/>
    <w:rsid w:val="00E74A9D"/>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5F17"/>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1D1"/>
    <w:rsid w:val="00EC02C6"/>
    <w:rsid w:val="00EC05B3"/>
    <w:rsid w:val="00EC0DFB"/>
    <w:rsid w:val="00EC1E2D"/>
    <w:rsid w:val="00EC2374"/>
    <w:rsid w:val="00EC2A59"/>
    <w:rsid w:val="00EC3518"/>
    <w:rsid w:val="00EC4052"/>
    <w:rsid w:val="00EC430F"/>
    <w:rsid w:val="00EC4A71"/>
    <w:rsid w:val="00EC4BB6"/>
    <w:rsid w:val="00EC4D1F"/>
    <w:rsid w:val="00EC4FE5"/>
    <w:rsid w:val="00EC541E"/>
    <w:rsid w:val="00EC722D"/>
    <w:rsid w:val="00EC7A03"/>
    <w:rsid w:val="00EC7E5D"/>
    <w:rsid w:val="00ED0176"/>
    <w:rsid w:val="00ED098A"/>
    <w:rsid w:val="00ED11DE"/>
    <w:rsid w:val="00ED1659"/>
    <w:rsid w:val="00ED17DF"/>
    <w:rsid w:val="00ED1928"/>
    <w:rsid w:val="00ED2505"/>
    <w:rsid w:val="00ED329B"/>
    <w:rsid w:val="00ED3AA3"/>
    <w:rsid w:val="00ED3B55"/>
    <w:rsid w:val="00ED3DA1"/>
    <w:rsid w:val="00ED3F06"/>
    <w:rsid w:val="00ED41CD"/>
    <w:rsid w:val="00ED4227"/>
    <w:rsid w:val="00ED5455"/>
    <w:rsid w:val="00ED561B"/>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55F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97E"/>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887"/>
    <w:rsid w:val="00F34C52"/>
    <w:rsid w:val="00F34FBD"/>
    <w:rsid w:val="00F355A4"/>
    <w:rsid w:val="00F35ECC"/>
    <w:rsid w:val="00F366B3"/>
    <w:rsid w:val="00F366BE"/>
    <w:rsid w:val="00F37EED"/>
    <w:rsid w:val="00F37F2C"/>
    <w:rsid w:val="00F4003D"/>
    <w:rsid w:val="00F402FF"/>
    <w:rsid w:val="00F40373"/>
    <w:rsid w:val="00F40A96"/>
    <w:rsid w:val="00F40D2F"/>
    <w:rsid w:val="00F410B2"/>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2544"/>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2EE"/>
    <w:rsid w:val="00F943A4"/>
    <w:rsid w:val="00F95A25"/>
    <w:rsid w:val="00F95BC2"/>
    <w:rsid w:val="00F95C18"/>
    <w:rsid w:val="00F96BC4"/>
    <w:rsid w:val="00F97CFA"/>
    <w:rsid w:val="00FA0226"/>
    <w:rsid w:val="00FA0610"/>
    <w:rsid w:val="00FA078A"/>
    <w:rsid w:val="00FA09C6"/>
    <w:rsid w:val="00FA19BA"/>
    <w:rsid w:val="00FA1A16"/>
    <w:rsid w:val="00FA1E63"/>
    <w:rsid w:val="00FA1EED"/>
    <w:rsid w:val="00FA2653"/>
    <w:rsid w:val="00FA2953"/>
    <w:rsid w:val="00FA2BB3"/>
    <w:rsid w:val="00FA3984"/>
    <w:rsid w:val="00FA5531"/>
    <w:rsid w:val="00FA59CA"/>
    <w:rsid w:val="00FA5D6D"/>
    <w:rsid w:val="00FA6261"/>
    <w:rsid w:val="00FA69BF"/>
    <w:rsid w:val="00FA6E77"/>
    <w:rsid w:val="00FB0949"/>
    <w:rsid w:val="00FB0F60"/>
    <w:rsid w:val="00FB0FB7"/>
    <w:rsid w:val="00FB2A7D"/>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194"/>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 w:val="344315F2"/>
    <w:rsid w:val="3F1D612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3"/>
    <w:semiHidden/>
    <w:unhideWhenUsed/>
    <w:qFormat/>
    <w:uiPriority w:val="99"/>
    <w:rPr>
      <w:rFonts w:ascii="宋体"/>
      <w:sz w:val="18"/>
      <w:szCs w:val="18"/>
      <w:lang w:eastAsia="zh-CN"/>
    </w:rPr>
  </w:style>
  <w:style w:type="paragraph" w:styleId="14">
    <w:name w:val="annotation text"/>
    <w:basedOn w:val="1"/>
    <w:link w:val="47"/>
    <w:semiHidden/>
    <w:unhideWhenUsed/>
    <w:uiPriority w:val="99"/>
    <w:pPr>
      <w:jc w:val="left"/>
    </w:pPr>
    <w:rPr>
      <w:lang w:eastAsia="zh-CN"/>
    </w:rPr>
  </w:style>
  <w:style w:type="paragraph" w:styleId="15">
    <w:name w:val="Body Text"/>
    <w:basedOn w:val="1"/>
    <w:link w:val="68"/>
    <w:unhideWhenUsed/>
    <w:qFormat/>
    <w:uiPriority w:val="0"/>
    <w:pPr>
      <w:spacing w:line="240" w:lineRule="auto"/>
      <w:textAlignment w:val="auto"/>
    </w:pPr>
    <w:rPr>
      <w:rFonts w:ascii="Arial" w:hAnsi="Arial"/>
      <w:sz w:val="20"/>
      <w:lang w:eastAsia="zh-CN"/>
    </w:rPr>
  </w:style>
  <w:style w:type="paragraph" w:styleId="16">
    <w:name w:val="List 2"/>
    <w:basedOn w:val="1"/>
    <w:semiHidden/>
    <w:unhideWhenUsed/>
    <w:qFormat/>
    <w:uiPriority w:val="99"/>
    <w:pPr>
      <w:ind w:left="100" w:leftChars="200" w:hanging="200" w:hangingChars="200"/>
      <w:contextualSpacing/>
    </w:pPr>
  </w:style>
  <w:style w:type="paragraph" w:styleId="17">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8">
    <w:name w:val="footer"/>
    <w:basedOn w:val="19"/>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19">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0">
    <w:name w:val="List"/>
    <w:basedOn w:val="1"/>
    <w:semiHidden/>
    <w:unhideWhenUsed/>
    <w:qFormat/>
    <w:uiPriority w:val="99"/>
    <w:pPr>
      <w:ind w:left="200" w:hanging="200" w:hangingChars="200"/>
      <w:contextualSpacing/>
    </w:pPr>
  </w:style>
  <w:style w:type="paragraph" w:styleId="21">
    <w:name w:val="annotation subject"/>
    <w:basedOn w:val="14"/>
    <w:next w:val="14"/>
    <w:link w:val="48"/>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character" w:customStyle="1" w:styleId="28">
    <w:name w:val="Heading 1 Char"/>
    <w:link w:val="2"/>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uiPriority w:val="0"/>
    <w:pPr>
      <w:tabs>
        <w:tab w:val="left" w:pos="1701"/>
        <w:tab w:val="right" w:pos="9639"/>
      </w:tabs>
      <w:spacing w:after="240"/>
    </w:pPr>
    <w:rPr>
      <w:b/>
      <w:sz w:val="20"/>
      <w:lang w:eastAsia="zh-CN"/>
    </w:rPr>
  </w:style>
  <w:style w:type="character" w:customStyle="1" w:styleId="38">
    <w:name w:val="Footer Char"/>
    <w:link w:val="18"/>
    <w:qFormat/>
    <w:uiPriority w:val="0"/>
    <w:rPr>
      <w:rFonts w:ascii="Arial" w:hAnsi="Arial" w:eastAsia="宋体" w:cs="Arial"/>
      <w:b/>
      <w:bCs/>
      <w:i/>
      <w:iCs/>
      <w:kern w:val="0"/>
      <w:sz w:val="18"/>
      <w:szCs w:val="18"/>
    </w:rPr>
  </w:style>
  <w:style w:type="character" w:customStyle="1" w:styleId="39">
    <w:name w:val="3GPP_Header Char"/>
    <w:link w:val="37"/>
    <w:uiPriority w:val="0"/>
    <w:rPr>
      <w:rFonts w:ascii="Times New Roman" w:hAnsi="Times New Roman" w:eastAsia="宋体" w:cs="Times New Roman"/>
      <w:b/>
      <w:kern w:val="0"/>
      <w:szCs w:val="20"/>
      <w:lang w:val="en-GB"/>
    </w:rPr>
  </w:style>
  <w:style w:type="character" w:customStyle="1" w:styleId="40">
    <w:name w:val="Header Char"/>
    <w:link w:val="19"/>
    <w:uiPriority w:val="99"/>
    <w:rPr>
      <w:rFonts w:ascii="Times New Roman" w:hAnsi="Times New Roman" w:eastAsia="宋体" w:cs="Times New Roman"/>
      <w:kern w:val="0"/>
      <w:sz w:val="18"/>
      <w:szCs w:val="18"/>
      <w:lang w:val="en-GB"/>
    </w:rPr>
  </w:style>
  <w:style w:type="character" w:customStyle="1" w:styleId="41">
    <w:name w:val="Balloon Text Char"/>
    <w:link w:val="17"/>
    <w:semiHidden/>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3"/>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4"/>
    <w:semiHidden/>
    <w:qFormat/>
    <w:uiPriority w:val="99"/>
    <w:rPr>
      <w:rFonts w:ascii="Times New Roman" w:hAnsi="Times New Roman"/>
      <w:sz w:val="22"/>
      <w:lang w:val="en-GB"/>
    </w:rPr>
  </w:style>
  <w:style w:type="character" w:customStyle="1" w:styleId="48">
    <w:name w:val="Comment Subject Char"/>
    <w:link w:val="21"/>
    <w:semiHidden/>
    <w:qFormat/>
    <w:uiPriority w:val="99"/>
    <w:rPr>
      <w:rFonts w:ascii="Times New Roman" w:hAnsi="Times New Roman"/>
      <w:b/>
      <w:bCs/>
      <w:sz w:val="22"/>
      <w:lang w:val="en-GB"/>
    </w:rPr>
  </w:style>
  <w:style w:type="table" w:customStyle="1" w:styleId="49">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0"/>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5"/>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0"/>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99"/>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88"/>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character" w:customStyle="1" w:styleId="88">
    <w:name w:val="TAH Car"/>
    <w:link w:val="85"/>
    <w:qFormat/>
    <w:uiPriority w:val="0"/>
    <w:rPr>
      <w:rFonts w:ascii="Arial" w:hAnsi="Arial" w:eastAsia="Times New Roman"/>
      <w:b/>
      <w:sz w:val="18"/>
      <w:lang w:val="en-GB" w:eastAsia="en-US"/>
    </w:rPr>
  </w:style>
  <w:style w:type="character" w:customStyle="1" w:styleId="89">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A69095-A873-41C9-84B5-37E633C9941B}">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967</Words>
  <Characters>5513</Characters>
  <Lines>45</Lines>
  <Paragraphs>12</Paragraphs>
  <TotalTime>0</TotalTime>
  <ScaleCrop>false</ScaleCrop>
  <LinksUpToDate>false</LinksUpToDate>
  <CharactersWithSpaces>6468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2020-02-14T04:03:11Z</dcterms:modified>
  <cp:revision>3176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